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4</w:t>
      </w:r>
    </w:p>
    <w:p>
      <w:r>
        <w:t>Bundesgericht (BGE), 1994-01-21, DE</w:t>
      </w:r>
    </w:p>
    <w:p>
      <w:r>
        <w:rPr>
          <w:b/>
        </w:rPr>
        <w:t xml:space="preserve">Quelle: </w:t>
      </w:r>
      <w:r>
        <w:t>https://mcp.opencaselaw.ch/entscheid/bge_120 III 4</w:t>
      </w:r>
    </w:p>
    <w:p>
      <w:r>
        <w:t>FR: ATF 120 III 4</w:t>
      </w:r>
    </w:p>
    <w:p>
      <w:r>
        <w:t>IT: DTF 120 III 4</w:t>
      </w:r>
    </w:p>
    <w:p>
      <w:pPr>
        <w:pStyle w:val="Heading2"/>
      </w:pPr>
      <w:r>
        <w:t>Regeste</w:t>
      </w:r>
    </w:p>
    <w:p>
      <w:r>
        <w:t>Regeste Art. 39 SchKG. 1. Die Betreibungsbehörden haben nicht zu prüfen, ob die im Handelsregister erfolgten Eintragungen und Löschungen gerechtfertigt seien oder nicht. Gegen den Rekurrenten, der im Zeitpunkt der Fortsetzung der Betreibung als Mitglied einer Kollektivgesellschaft im Handelsregister eingetragen ist, ist die Betreibung gemäss Art. 39 Abs. 1 Ziff. 2 SchKG auf Konkurs fortzusetzen (E. 4). 2. Die in Art. 39 SchKG bezeichneten Einzelpersonen unterliegen der Konkursbetreibung für sämtliche Schulden, auch für die nicht aus dem Geschäftsbetrieb herrührenden (E. 5).</w:t>
      </w:r>
    </w:p>
    <w:p>
      <w:pPr>
        <w:pStyle w:val="Heading2"/>
      </w:pPr>
      <w:r>
        <w:t>Erwägungen</w:t>
      </w:r>
    </w:p>
    <w:p>
      <w:r>
        <w:rPr>
          <w:b/>
        </w:rPr>
        <w:t>E. 4</w:t>
      </w:r>
    </w:p>
    <w:p>
      <w:r>
        <w:t>Betreibungsrechtlich ist es belanglos, ob und wann die Kollektivgesellschaft T. im Handelsregister hätte gelöscht werden müssen. Wie der Kantonsgerichtsausschuss von Graubünden unter Hinweis auf die ständige Rechtsprechung ( BGE 80 III 97 mit Hinweisen; BGE 78 III 89 E. 1) ausgeführt hat, haben die Betreibungsbehörden nicht zu prüfen, ob die im Handelsregister erfolgten Eintragungen und Löschungen gerechtfertigt seien oder nicht. Vielmehr ist für sie der Registerstand massgebend, im vorliegenden Fall also die Tatsache, dass die Kollektivgesellschaft T. am 19. Oktober 1993 im Handelsregister noch nicht gelöscht war und dass insbesondere der Rekurrent als Mitglied dieser Kollektivgesellschaft an jenem Datum noch eingetragen war. Im Hinblick darauf, dass der Rekurrent im Zeitpunkt, wo ihm die Konkursandrohungen zugestellt wurden, noch im Handelsregister eingetragen war, kann er weder aus Art. 40 Abs. 1 SchKG noch aus der zu dieser Bestimmung ergangenen Rechtsprechung ( BGE 68 III 16 ; BlSchK 1947, S. 142, zitiert bei BRÜGGER, SchKG, Schweizerische Gerichtspraxis 1946-1984, N. 1 zu Art. 40 SchKG ) etwas zu seinen Gunsten herleiten. Diese Vorschrift setzt voraus, dass die dem Konkurs unterliegende Person im Handelsregister gestrichen ist und dass die Streichung durch das Schweizerische Handelsamtsblatt bekanntgemacht worden ist. Sodann gehen die beiden erwähnten Entscheide davon aus, dass über den unbeschränkt haftenden Gesellschafter selber vorher der Konkurs eröffnet worden ist. Die Betreibung gegen den Rekurrenten ist daher - gestützt auf Art. 39 Abs. 1 Ziff. 2 SchKG - zu Recht auf dem Wege des Konkurses fortgesetzt worden.</w:t>
      </w:r>
    </w:p>
    <w:p>
      <w:r>
        <w:rPr>
          <w:b/>
        </w:rPr>
        <w:t>E. 5</w:t>
      </w:r>
    </w:p>
    <w:p>
      <w:r>
        <w:t>Die in Art. 39 SchKG bezeichneten Einzelpersonen unterliegen der Konkursbetreibung für sämtliche Schulden, auch für die nicht aus dem Geschäftsbetrieb herrührenden (AMONN, Grundriss des Schuldbetreibungs- und Konkursrechts, 5. Auflage Bern 1993, § 9 N. 4). BGE 120 III 4 S. 7 Vergeblich macht daher der Rekurrent geltend, die X. sei nie im Handelsregister eingetragen gewesen und für die diesbezüglichen Schulden könne er nicht auf Konkurs betrieben werden. Der Rekurrent war, wie festgestellt, im Zeitpunkt der Fortsetzung der Betreibung, als Mitglied einer Kollektivgesellschaft im Handelsregister eingetragen; und in dieser Eigenschaft unterliegt er auch für seine Privatschulden, als welche die aus der X. herrührenden gelten, der Konkursbetreibung.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